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Jones Elite Logistics – Carrier Requirements</w:t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rtl w:val="0"/>
        </w:rPr>
        <w:t xml:space="preserve">Carrier Requirements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work with Jones Elite Logistics LLC, carriers must provide the following documentation before dispatch services begin: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• Active MC Authority (if applicable)</w:t>
        <w:br w:type="textWrapping"/>
        <w:t xml:space="preserve">• Valid Certificate of Insurance</w:t>
        <w:br w:type="textWrapping"/>
        <w:t xml:space="preserve">• Signed Dispatch Service Agreement</w:t>
        <w:br w:type="textWrapping"/>
        <w:t xml:space="preserve">• Completed Carrier Application Form</w:t>
        <w:br w:type="textWrapping"/>
        <w:t xml:space="preserve">• W9 Form</w:t>
        <w:br w:type="textWrapping"/>
        <w:t xml:space="preserve">• Truck / Equipment Information</w:t>
        <w:br w:type="textWrapping"/>
        <w:t xml:space="preserve">• Copy of CDL (if applicable)</w:t>
        <w:br w:type="textWrapping"/>
        <w:t xml:space="preserve">• Factoring Company Information (if used)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Once all documents are received and verified, carriers can typically begin receiving loads within 48 hours.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